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35D" w:rsidRDefault="00F430B5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ÓRALEÍRÁS</w:t>
      </w:r>
    </w:p>
    <w:p w:rsidR="0010535D" w:rsidRDefault="00AA107D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Tantárgy neve; MA</w:t>
      </w:r>
      <w:r w:rsidR="0077591B">
        <w:rPr>
          <w:b/>
          <w:sz w:val="24"/>
        </w:rPr>
        <w:t xml:space="preserve"> (</w:t>
      </w:r>
      <w:r w:rsidR="00C44DCC">
        <w:rPr>
          <w:b/>
          <w:sz w:val="24"/>
        </w:rPr>
        <w:t>levelezős</w:t>
      </w:r>
      <w:r w:rsidR="0077591B">
        <w:rPr>
          <w:b/>
          <w:sz w:val="24"/>
        </w:rPr>
        <w:t>)</w:t>
      </w:r>
      <w:proofErr w:type="gramStart"/>
      <w:r w:rsidR="00F430B5">
        <w:rPr>
          <w:b/>
          <w:sz w:val="24"/>
        </w:rPr>
        <w:t>:Régió</w:t>
      </w:r>
      <w:proofErr w:type="gramEnd"/>
      <w:r w:rsidR="00F430B5">
        <w:rPr>
          <w:b/>
          <w:sz w:val="24"/>
        </w:rPr>
        <w:t xml:space="preserve"> és területfejlesztés</w:t>
      </w:r>
    </w:p>
    <w:p w:rsidR="00AA107D" w:rsidRDefault="00AA107D">
      <w:pPr>
        <w:spacing w:before="120"/>
        <w:jc w:val="center"/>
        <w:rPr>
          <w:b/>
          <w:sz w:val="24"/>
        </w:rPr>
      </w:pPr>
    </w:p>
    <w:tbl>
      <w:tblPr>
        <w:tblW w:w="967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14"/>
        <w:gridCol w:w="7656"/>
      </w:tblGrid>
      <w:tr w:rsidR="0010535D" w:rsidTr="00503CD4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Tantárgy neve:</w:t>
            </w:r>
          </w:p>
          <w:p w:rsidR="009A7434" w:rsidRPr="000D3150" w:rsidRDefault="000D315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D3150">
              <w:rPr>
                <w:rFonts w:asciiTheme="minorHAnsi" w:hAnsiTheme="minorHAnsi" w:cstheme="minorHAnsi"/>
              </w:rPr>
              <w:t>Régió és területfejlesztés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</w:pPr>
            <w:r>
              <w:rPr>
                <w:b/>
              </w:rPr>
              <w:t xml:space="preserve">Tantárgy </w:t>
            </w:r>
            <w:proofErr w:type="spellStart"/>
            <w:r>
              <w:rPr>
                <w:b/>
              </w:rPr>
              <w:t>Neptun</w:t>
            </w:r>
            <w:proofErr w:type="spellEnd"/>
            <w:r>
              <w:rPr>
                <w:b/>
              </w:rPr>
              <w:t xml:space="preserve"> kódja:</w:t>
            </w:r>
            <w:r>
              <w:t xml:space="preserve"> </w:t>
            </w:r>
            <w:bookmarkStart w:id="0" w:name="_GoBack"/>
            <w:r w:rsidR="00C44DCC">
              <w:rPr>
                <w:rFonts w:asciiTheme="minorHAnsi" w:hAnsiTheme="minorHAnsi" w:cstheme="minorHAnsi"/>
              </w:rPr>
              <w:t>BTKVAL</w:t>
            </w:r>
            <w:r w:rsidR="009A7434" w:rsidRPr="00882263">
              <w:rPr>
                <w:rFonts w:asciiTheme="minorHAnsi" w:hAnsiTheme="minorHAnsi" w:cstheme="minorHAnsi"/>
              </w:rPr>
              <w:t>2</w:t>
            </w:r>
            <w:r w:rsidR="000D3150">
              <w:rPr>
                <w:rFonts w:asciiTheme="minorHAnsi" w:hAnsiTheme="minorHAnsi" w:cstheme="minorHAnsi"/>
              </w:rPr>
              <w:t>12</w:t>
            </w:r>
            <w:bookmarkEnd w:id="0"/>
          </w:p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Tárgyfelelős intézet: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AFTI</w:t>
            </w:r>
          </w:p>
        </w:tc>
      </w:tr>
      <w:tr w:rsidR="0010535D" w:rsidTr="00503CD4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10535D">
            <w:pPr>
              <w:spacing w:after="0" w:line="240" w:lineRule="auto"/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Tantárgyelem: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kötelező</w:t>
            </w:r>
            <w:r w:rsidRPr="00882263">
              <w:rPr>
                <w:rFonts w:asciiTheme="minorHAnsi" w:hAnsiTheme="minorHAnsi" w:cstheme="minorHAnsi"/>
              </w:rPr>
              <w:t>.</w:t>
            </w:r>
          </w:p>
        </w:tc>
      </w:tr>
      <w:tr w:rsidR="0010535D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Tárgyfelelős: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Dr. Dobák Judit, egyetemi adjunktus</w:t>
            </w:r>
          </w:p>
        </w:tc>
      </w:tr>
      <w:tr w:rsidR="0010535D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 xml:space="preserve">Közreműködő </w:t>
            </w:r>
            <w:proofErr w:type="gramStart"/>
            <w:r>
              <w:rPr>
                <w:b/>
              </w:rPr>
              <w:t>oktató(</w:t>
            </w:r>
            <w:proofErr w:type="gramEnd"/>
            <w:r>
              <w:rPr>
                <w:b/>
              </w:rPr>
              <w:t>k):</w:t>
            </w:r>
            <w:r>
              <w:t xml:space="preserve"> </w:t>
            </w:r>
          </w:p>
        </w:tc>
      </w:tr>
      <w:tr w:rsidR="0010535D" w:rsidTr="00503CD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 xml:space="preserve">Javasolt félév: </w:t>
            </w:r>
            <w:r w:rsidR="009A7434" w:rsidRPr="00882263">
              <w:rPr>
                <w:rFonts w:asciiTheme="minorHAnsi" w:hAnsiTheme="minorHAnsi" w:cstheme="minorHAnsi"/>
              </w:rPr>
              <w:t>II.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Előfeltétel: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nincs</w:t>
            </w:r>
            <w:r w:rsidRPr="00882263">
              <w:rPr>
                <w:rFonts w:asciiTheme="minorHAnsi" w:hAnsiTheme="minorHAnsi" w:cstheme="minorHAnsi"/>
              </w:rPr>
              <w:t>.</w:t>
            </w:r>
          </w:p>
        </w:tc>
      </w:tr>
      <w:tr w:rsidR="0010535D" w:rsidTr="00503CD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0D3150">
            <w:pPr>
              <w:spacing w:after="0" w:line="240" w:lineRule="auto"/>
            </w:pPr>
            <w:r>
              <w:rPr>
                <w:b/>
              </w:rPr>
              <w:t>Óraszám/hét:</w:t>
            </w:r>
            <w:r>
              <w:t xml:space="preserve"> </w:t>
            </w:r>
            <w:r w:rsidR="000D315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 xml:space="preserve">Számonkérés módja: </w:t>
            </w:r>
            <w:r w:rsidRPr="00882263">
              <w:rPr>
                <w:rFonts w:asciiTheme="minorHAnsi" w:hAnsiTheme="minorHAnsi" w:cstheme="minorHAnsi"/>
              </w:rPr>
              <w:t>gyakorlati jegy</w:t>
            </w:r>
          </w:p>
        </w:tc>
      </w:tr>
      <w:tr w:rsidR="0010535D" w:rsidTr="00503CD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 w:rsidP="009A7434">
            <w:pPr>
              <w:spacing w:after="0" w:line="240" w:lineRule="auto"/>
            </w:pPr>
            <w:r>
              <w:rPr>
                <w:b/>
              </w:rPr>
              <w:t>Kreditpont:</w:t>
            </w:r>
            <w:r>
              <w:t xml:space="preserve"> </w:t>
            </w:r>
            <w:r w:rsidR="009A7434" w:rsidRPr="00882263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D32F7" w:rsidP="009A7434">
            <w:pPr>
              <w:spacing w:after="0" w:line="240" w:lineRule="auto"/>
            </w:pPr>
            <w:r>
              <w:rPr>
                <w:b/>
              </w:rPr>
              <w:t>Munkarend</w:t>
            </w:r>
            <w:r w:rsidR="0077591B">
              <w:rPr>
                <w:b/>
              </w:rPr>
              <w:t>:</w:t>
            </w:r>
            <w:r w:rsidR="0077591B">
              <w:t xml:space="preserve"> </w:t>
            </w:r>
            <w:r w:rsidR="0077591B" w:rsidRPr="00882263">
              <w:rPr>
                <w:rFonts w:asciiTheme="minorHAnsi" w:hAnsiTheme="minorHAnsi" w:cstheme="minorHAnsi"/>
              </w:rPr>
              <w:t>nappali / levelező</w:t>
            </w:r>
            <w:r w:rsidR="0077591B">
              <w:t xml:space="preserve"> </w:t>
            </w:r>
          </w:p>
        </w:tc>
      </w:tr>
      <w:tr w:rsidR="0010535D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Tantárgy feladata és célja:</w:t>
            </w:r>
          </w:p>
          <w:p w:rsidR="0010535D" w:rsidRPr="00882263" w:rsidRDefault="00ED2EB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 xml:space="preserve">A tárgy a félév során olyan alapfogalmakkal és alapvető területfejlesztéssel kapcsolatos általános </w:t>
            </w:r>
            <w:proofErr w:type="gramStart"/>
            <w:r>
              <w:t>információkkal</w:t>
            </w:r>
            <w:proofErr w:type="gramEnd"/>
            <w:r>
              <w:t xml:space="preserve"> ismerteti meg a hallgatókat, amely lehetővé teszi interdiszciplináris látásmódra, más szakterületen kutatókkal való </w:t>
            </w:r>
            <w:proofErr w:type="spellStart"/>
            <w:r>
              <w:t>együttdolgozásra</w:t>
            </w:r>
            <w:proofErr w:type="spellEnd"/>
            <w:r>
              <w:t xml:space="preserve">. A tárgy helyi nézőpontból vizsgálja és </w:t>
            </w:r>
            <w:proofErr w:type="spellStart"/>
            <w:r>
              <w:t>elemzi</w:t>
            </w:r>
            <w:proofErr w:type="spellEnd"/>
            <w:r>
              <w:t xml:space="preserve"> a helyi társadalom, és a </w:t>
            </w:r>
            <w:proofErr w:type="gramStart"/>
            <w:r>
              <w:t>globális</w:t>
            </w:r>
            <w:proofErr w:type="gramEnd"/>
            <w:r>
              <w:t xml:space="preserve"> rendszerek együttműködését. A félév során Magyarország régiói mentén az esettanulmányok keretei között recens területfejlesztési felvetésekkel foglalkozunk. Ezen témák kapcsolódnak a </w:t>
            </w:r>
            <w:proofErr w:type="gramStart"/>
            <w:r>
              <w:t>szak kutatási</w:t>
            </w:r>
            <w:proofErr w:type="gramEnd"/>
            <w:r>
              <w:t>, gyakorlati tevékenységéhez.</w:t>
            </w:r>
            <w:r w:rsidR="009A7434" w:rsidRPr="00882263">
              <w:rPr>
                <w:rFonts w:asciiTheme="minorHAnsi" w:hAnsiTheme="minorHAnsi" w:cstheme="minorHAnsi"/>
              </w:rPr>
              <w:t>.</w:t>
            </w:r>
          </w:p>
          <w:p w:rsidR="0010535D" w:rsidRDefault="0010535D" w:rsidP="004D5FFB">
            <w:pPr>
              <w:spacing w:after="0" w:line="240" w:lineRule="auto"/>
            </w:pPr>
          </w:p>
        </w:tc>
      </w:tr>
      <w:tr w:rsidR="0010535D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</w:pPr>
            <w:r>
              <w:rPr>
                <w:b/>
              </w:rPr>
              <w:t>Tantárgy tematikus leírása:</w:t>
            </w:r>
          </w:p>
        </w:tc>
      </w:tr>
      <w:tr w:rsidR="0010535D" w:rsidTr="00503CD4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Előadás:</w:t>
            </w:r>
          </w:p>
          <w:p w:rsidR="00AA1BDC" w:rsidRDefault="0077591B" w:rsidP="00AA1BDC">
            <w:pPr>
              <w:spacing w:after="0" w:line="240" w:lineRule="auto"/>
            </w:pPr>
            <w:r>
              <w:t>A tárgy féléves programjának kifejtése</w:t>
            </w:r>
            <w:r w:rsidR="00AA1BDC">
              <w:t>,</w:t>
            </w:r>
            <w:r>
              <w:t xml:space="preserve"> 14 </w:t>
            </w:r>
            <w:r w:rsidR="00AA1BDC">
              <w:t>téma</w:t>
            </w:r>
            <w:r>
              <w:t xml:space="preserve"> félévente. A bontás egyértelműen és azonosítható módon mutassa be az</w:t>
            </w:r>
            <w:r w:rsidR="00B37181">
              <w:t xml:space="preserve"> elsajátítandó ismeretek körét</w:t>
            </w:r>
            <w:r w:rsidR="00AA1BDC">
              <w:t>.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Gyakorlat:</w:t>
            </w:r>
            <w:r w:rsidR="009A7434">
              <w:rPr>
                <w:b/>
                <w:i/>
              </w:rPr>
              <w:t xml:space="preserve"> (szemináriumon feldolgozandó témák)</w:t>
            </w:r>
          </w:p>
          <w:p w:rsidR="00ED2EB3" w:rsidRDefault="000803B3" w:rsidP="00ED2EB3">
            <w:pPr>
              <w:spacing w:after="0" w:line="240" w:lineRule="auto"/>
            </w:pPr>
            <w:r>
              <w:t>1. Fogalmi meghatározások.</w:t>
            </w:r>
          </w:p>
          <w:p w:rsidR="00ED2EB3" w:rsidRDefault="00ED2EB3" w:rsidP="00ED2EB3">
            <w:pPr>
              <w:spacing w:after="0" w:line="240" w:lineRule="auto"/>
            </w:pPr>
            <w:r>
              <w:t xml:space="preserve">2. Területfejlesztéssel kapcsolatos szabályozások Magyarországon. Jogi környezet áttekintése </w:t>
            </w:r>
          </w:p>
          <w:p w:rsidR="00ED2EB3" w:rsidRDefault="00ED2EB3" w:rsidP="00ED2EB3">
            <w:pPr>
              <w:spacing w:after="0" w:line="240" w:lineRule="auto"/>
            </w:pPr>
            <w:r>
              <w:t xml:space="preserve">3. Gazdasági egyenlőtlenségek </w:t>
            </w:r>
          </w:p>
          <w:p w:rsidR="00ED2EB3" w:rsidRDefault="00ED2EB3" w:rsidP="00ED2EB3">
            <w:pPr>
              <w:spacing w:after="0" w:line="240" w:lineRule="auto"/>
            </w:pPr>
            <w:r>
              <w:t xml:space="preserve">4. Településfejlesztés infrastrukturális kérdései (úthálózat, közmű, gáz, víz, áram, egyebek) </w:t>
            </w:r>
          </w:p>
          <w:p w:rsidR="00ED2EB3" w:rsidRPr="002C2F58" w:rsidRDefault="00ED2EB3" w:rsidP="00ED2EB3">
            <w:pPr>
              <w:spacing w:after="0" w:line="240" w:lineRule="auto"/>
            </w:pPr>
            <w:r>
              <w:t xml:space="preserve">5. A területfejlesztés intézményrendszere, területfejlesztés, felzárkózás, hátrányos </w:t>
            </w:r>
            <w:r w:rsidRPr="002C2F58">
              <w:t xml:space="preserve">helyzet </w:t>
            </w:r>
          </w:p>
          <w:p w:rsidR="00ED2EB3" w:rsidRPr="002C2F58" w:rsidRDefault="00ED2EB3" w:rsidP="00ED2EB3">
            <w:pPr>
              <w:spacing w:after="0" w:line="240" w:lineRule="auto"/>
            </w:pPr>
            <w:r w:rsidRPr="002C2F58">
              <w:t xml:space="preserve">6. Vidék fogalma, </w:t>
            </w:r>
            <w:proofErr w:type="gramStart"/>
            <w:r w:rsidRPr="002C2F58">
              <w:t>probléma</w:t>
            </w:r>
            <w:proofErr w:type="gramEnd"/>
            <w:r w:rsidRPr="002C2F58">
              <w:t xml:space="preserve">köre a településfejlesztésben </w:t>
            </w:r>
          </w:p>
          <w:p w:rsidR="00ED2EB3" w:rsidRDefault="00ED2EB3" w:rsidP="00ED2EB3">
            <w:pPr>
              <w:spacing w:after="0" w:line="240" w:lineRule="auto"/>
            </w:pPr>
            <w:r>
              <w:t xml:space="preserve">7. Helyi fejlesztés, barnamezős, zöldmezős területek fejlesztése (fogalomhasználat, magyarországi példák) </w:t>
            </w:r>
          </w:p>
          <w:p w:rsidR="00ED2EB3" w:rsidRDefault="00ED2EB3" w:rsidP="00ED2EB3">
            <w:pPr>
              <w:spacing w:after="0" w:line="240" w:lineRule="auto"/>
            </w:pPr>
            <w:r>
              <w:t xml:space="preserve">8. Civil szervezetek szerepe a területfejlesztésben </w:t>
            </w:r>
          </w:p>
          <w:p w:rsidR="00ED2EB3" w:rsidRDefault="00ED2EB3" w:rsidP="00ED2EB3">
            <w:pPr>
              <w:spacing w:after="0" w:line="240" w:lineRule="auto"/>
            </w:pPr>
            <w:r>
              <w:t xml:space="preserve">9. Településfejlesztés, városfejlesztés </w:t>
            </w:r>
          </w:p>
          <w:p w:rsidR="00ED2EB3" w:rsidRDefault="00ED2EB3" w:rsidP="00ED2EB3">
            <w:pPr>
              <w:spacing w:after="0" w:line="240" w:lineRule="auto"/>
            </w:pPr>
            <w:r>
              <w:t>10. Szociális foglalkoztatás, vidék- és területfejlesztési programok, társadalmi innováció</w:t>
            </w:r>
          </w:p>
          <w:p w:rsidR="00ED2EB3" w:rsidRDefault="00ED2EB3" w:rsidP="00ED2EB3">
            <w:pPr>
              <w:spacing w:after="0" w:line="240" w:lineRule="auto"/>
            </w:pPr>
            <w:r>
              <w:t xml:space="preserve">11. </w:t>
            </w:r>
            <w:proofErr w:type="gramStart"/>
            <w:r>
              <w:t>konkrét</w:t>
            </w:r>
            <w:proofErr w:type="gramEnd"/>
            <w:r>
              <w:t xml:space="preserve"> esettanulmány ismertetése (pl. egy település településfejlesztési programja </w:t>
            </w:r>
          </w:p>
          <w:p w:rsidR="00ED2EB3" w:rsidRDefault="00ED2EB3" w:rsidP="00ED2EB3">
            <w:pPr>
              <w:spacing w:after="0" w:line="240" w:lineRule="auto"/>
            </w:pPr>
            <w:r>
              <w:t xml:space="preserve">12. Környezetgazdálkodás, fenntarthatóság </w:t>
            </w:r>
          </w:p>
          <w:p w:rsidR="00ED2EB3" w:rsidRDefault="00ED2EB3" w:rsidP="00ED2EB3">
            <w:pPr>
              <w:spacing w:after="0" w:line="240" w:lineRule="auto"/>
            </w:pPr>
            <w:r>
              <w:t xml:space="preserve">13. Összehasonlítás egy EU-s ország és magyarországi területfejlesztési politikájában </w:t>
            </w:r>
          </w:p>
          <w:p w:rsidR="0010535D" w:rsidRPr="00ED2EB3" w:rsidRDefault="00ED2EB3" w:rsidP="00ED2EB3">
            <w:pPr>
              <w:spacing w:after="0" w:line="240" w:lineRule="auto"/>
            </w:pPr>
            <w:r>
              <w:t>14. K+</w:t>
            </w:r>
            <w:proofErr w:type="gramStart"/>
            <w:r>
              <w:t>F(</w:t>
            </w:r>
            <w:proofErr w:type="gramEnd"/>
            <w:r>
              <w:t xml:space="preserve">+I), kultúra és területfejlesztés kapcsolata </w:t>
            </w:r>
          </w:p>
        </w:tc>
      </w:tr>
      <w:tr w:rsidR="0010535D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Félévközi számonkérés módja és értékelése:</w:t>
            </w:r>
          </w:p>
          <w:p w:rsidR="0010535D" w:rsidRDefault="00503CD4">
            <w:pPr>
              <w:spacing w:after="0" w:line="240" w:lineRule="auto"/>
            </w:pPr>
            <w:r w:rsidRPr="000803B3">
              <w:rPr>
                <w:strike/>
                <w:color w:val="FF0000"/>
              </w:rPr>
              <w:t>Szóbeli beszámoló és ezt segítő vizuális eszközökkel támogatott</w:t>
            </w:r>
            <w:r w:rsidRPr="000803B3">
              <w:rPr>
                <w:color w:val="FF0000"/>
              </w:rPr>
              <w:t xml:space="preserve"> </w:t>
            </w:r>
            <w:r w:rsidR="0077591B">
              <w:t>prezentáció</w:t>
            </w:r>
            <w:r>
              <w:t xml:space="preserve"> készítése előre kiválasztott témában. </w:t>
            </w:r>
            <w:r w:rsidR="003F0A5F">
              <w:t xml:space="preserve">A jegyszerzés feltétele: </w:t>
            </w:r>
            <w:proofErr w:type="gramStart"/>
            <w:r w:rsidR="003F0A5F" w:rsidRPr="000803B3">
              <w:rPr>
                <w:strike/>
                <w:color w:val="FF0000"/>
              </w:rPr>
              <w:t>aktív</w:t>
            </w:r>
            <w:proofErr w:type="gramEnd"/>
            <w:r w:rsidR="003F0A5F" w:rsidRPr="000803B3">
              <w:rPr>
                <w:strike/>
                <w:color w:val="FF0000"/>
              </w:rPr>
              <w:t xml:space="preserve"> órai jelenlét és </w:t>
            </w:r>
            <w:r w:rsidR="003F0A5F">
              <w:t xml:space="preserve">referátum elkészítése </w:t>
            </w:r>
            <w:r w:rsidR="003F0A5F" w:rsidRPr="000803B3">
              <w:rPr>
                <w:strike/>
                <w:color w:val="FF0000"/>
              </w:rPr>
              <w:t>ennek szóbeli ismertetése</w:t>
            </w:r>
            <w:r w:rsidR="003F0A5F" w:rsidRPr="000803B3">
              <w:rPr>
                <w:color w:val="FF0000"/>
              </w:rPr>
              <w:t xml:space="preserve"> </w:t>
            </w:r>
            <w:r w:rsidR="003F0A5F">
              <w:t xml:space="preserve">az órán előre kiadott témából. (A témák párhuzamosak az óra tematikájával.) Az </w:t>
            </w:r>
            <w:r w:rsidR="003F0A5F" w:rsidRPr="000803B3">
              <w:rPr>
                <w:strike/>
                <w:color w:val="FF0000"/>
              </w:rPr>
              <w:t>órai munka és az</w:t>
            </w:r>
            <w:r w:rsidR="003F0A5F" w:rsidRPr="000803B3">
              <w:rPr>
                <w:color w:val="FF0000"/>
              </w:rPr>
              <w:t xml:space="preserve"> </w:t>
            </w:r>
            <w:r w:rsidR="003F0A5F">
              <w:t>elkészített feladatok alapján gyakorlati jegy adható.</w:t>
            </w:r>
          </w:p>
          <w:p w:rsidR="0010535D" w:rsidRDefault="0010535D">
            <w:pPr>
              <w:spacing w:after="0" w:line="240" w:lineRule="auto"/>
            </w:pPr>
          </w:p>
          <w:p w:rsidR="0010535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Gyakorlati jegy / kollokvium teljesítésének módja, értékelése:</w:t>
            </w:r>
          </w:p>
          <w:p w:rsidR="0010535D" w:rsidRDefault="00503CD4">
            <w:pPr>
              <w:spacing w:after="0" w:line="240" w:lineRule="auto"/>
            </w:pPr>
            <w:r w:rsidRPr="007477D8">
              <w:t xml:space="preserve">Az érdemjegy feladatok közötti megoszlása: </w:t>
            </w:r>
            <w:r>
              <w:t>6</w:t>
            </w:r>
            <w:r w:rsidRPr="007477D8">
              <w:t xml:space="preserve">0 % szóbeli </w:t>
            </w:r>
            <w:r>
              <w:t>referátum, 4</w:t>
            </w:r>
            <w:r w:rsidRPr="007477D8">
              <w:t xml:space="preserve">0 % órai </w:t>
            </w:r>
            <w:proofErr w:type="gramStart"/>
            <w:r w:rsidRPr="007477D8">
              <w:t>aktivitás</w:t>
            </w:r>
            <w:proofErr w:type="gramEnd"/>
            <w:r w:rsidRPr="007477D8">
              <w:t>. (</w:t>
            </w:r>
            <w:r w:rsidRPr="00055F6B">
              <w:rPr>
                <w:rFonts w:cstheme="minorHAnsi"/>
              </w:rPr>
              <w:t>Elégséges: 50 %-</w:t>
            </w:r>
            <w:proofErr w:type="spellStart"/>
            <w:r w:rsidRPr="00055F6B">
              <w:rPr>
                <w:rFonts w:cstheme="minorHAnsi"/>
              </w:rPr>
              <w:t>tól</w:t>
            </w:r>
            <w:proofErr w:type="spellEnd"/>
            <w:r w:rsidRPr="00055F6B">
              <w:rPr>
                <w:rFonts w:cstheme="minorHAnsi"/>
              </w:rPr>
              <w:t>. Közepes: 51-65%, Jó: 66-80% kiváló: 81%-</w:t>
            </w:r>
            <w:proofErr w:type="spellStart"/>
            <w:r w:rsidRPr="00055F6B">
              <w:rPr>
                <w:rFonts w:cstheme="minorHAnsi"/>
              </w:rPr>
              <w:t>tól</w:t>
            </w:r>
            <w:proofErr w:type="spellEnd"/>
            <w:r>
              <w:t>.</w:t>
            </w:r>
          </w:p>
          <w:p w:rsidR="00503CD4" w:rsidRDefault="00503CD4">
            <w:pPr>
              <w:spacing w:after="0" w:line="240" w:lineRule="auto"/>
            </w:pPr>
          </w:p>
          <w:p w:rsidR="0010535D" w:rsidRPr="00D230F3" w:rsidRDefault="00503CD4" w:rsidP="00503CD4">
            <w:pPr>
              <w:suppressAutoHyphens w:val="0"/>
              <w:spacing w:after="0"/>
              <w:jc w:val="left"/>
              <w:rPr>
                <w:sz w:val="24"/>
                <w:szCs w:val="24"/>
              </w:rPr>
            </w:pPr>
            <w:r>
              <w:rPr>
                <w:b/>
              </w:rPr>
              <w:t>Az</w:t>
            </w:r>
            <w:r w:rsidR="00D230F3" w:rsidRPr="00D230F3">
              <w:rPr>
                <w:b/>
              </w:rPr>
              <w:t xml:space="preserve"> adott ismeret átadásában alkalmazandó</w:t>
            </w:r>
            <w:r w:rsidR="00D230F3">
              <w:t xml:space="preserve"> </w:t>
            </w:r>
            <w:r w:rsidR="00D230F3">
              <w:rPr>
                <w:b/>
              </w:rPr>
              <w:t>további</w:t>
            </w:r>
            <w:r w:rsidR="00D230F3">
              <w:t xml:space="preserve"> (</w:t>
            </w:r>
            <w:r w:rsidR="00D230F3">
              <w:rPr>
                <w:i/>
              </w:rPr>
              <w:t>sajátos</w:t>
            </w:r>
            <w:r w:rsidR="00D230F3">
              <w:t xml:space="preserve">) </w:t>
            </w:r>
            <w:r w:rsidR="00D230F3">
              <w:rPr>
                <w:b/>
              </w:rPr>
              <w:t>módok, jellemzők</w:t>
            </w:r>
            <w:r w:rsidR="00D230F3">
              <w:t xml:space="preserve"> </w:t>
            </w:r>
            <w:r>
              <w:rPr>
                <w:i/>
                <w:sz w:val="21"/>
                <w:szCs w:val="21"/>
              </w:rPr>
              <w:t>nincsenek</w:t>
            </w:r>
            <w:r w:rsidR="00D230F3">
              <w:t>.</w:t>
            </w:r>
          </w:p>
        </w:tc>
      </w:tr>
      <w:tr w:rsidR="0010535D">
        <w:tc>
          <w:tcPr>
            <w:tcW w:w="9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35D" w:rsidRDefault="0077591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Kötelező irodalom:</w:t>
            </w:r>
          </w:p>
          <w:p w:rsidR="00ED2EB3" w:rsidRPr="004D6468" w:rsidRDefault="00ED2EB3" w:rsidP="004D6468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D6468">
              <w:rPr>
                <w:rFonts w:asciiTheme="minorHAnsi" w:hAnsiTheme="minorHAnsi" w:cstheme="minorHAnsi"/>
              </w:rPr>
              <w:lastRenderedPageBreak/>
              <w:t>Beluszky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Pál 1997: Borsod-Abaúj-Zemplén megye falusi településeinek típusai. In: Vég kiárusítás I. Válogatott társadalomföldrajzi tanulmányok. Budapest: MTA RKK, 160- 193. </w:t>
            </w:r>
            <w:hyperlink r:id="rId7" w:history="1">
              <w:r w:rsidR="000803B3">
                <w:rPr>
                  <w:rStyle w:val="Hiperhivatkozs"/>
                </w:rPr>
                <w:t>http://www.regscience.hu:8080/xmlui/handle/11155/1736</w:t>
              </w:r>
            </w:hyperlink>
          </w:p>
          <w:p w:rsidR="00ED2EB3" w:rsidRPr="004D6468" w:rsidRDefault="00ED2EB3" w:rsidP="004D6468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D6468">
              <w:rPr>
                <w:rFonts w:asciiTheme="minorHAnsi" w:hAnsiTheme="minorHAnsi" w:cstheme="minorHAnsi"/>
              </w:rPr>
              <w:t>Beluszky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Pál 1997: Krasznokvajda – egy alsófokú központ (?) gondjai a Csereháton. In: Vég kiárusítás I. Válogatott társadalomföldrajzi tanulmányok. Budapest: MTA RKK, 128- 159. </w:t>
            </w:r>
            <w:hyperlink r:id="rId8" w:history="1">
              <w:r w:rsidR="000803B3">
                <w:rPr>
                  <w:rStyle w:val="Hiperhivatkozs"/>
                </w:rPr>
                <w:t>http://www.regscience.hu:8080/xmlui/handle/11155/1736</w:t>
              </w:r>
            </w:hyperlink>
          </w:p>
          <w:p w:rsidR="00ED2EB3" w:rsidRDefault="00ED2EB3" w:rsidP="004D6468">
            <w:pPr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4D6468">
              <w:rPr>
                <w:rFonts w:asciiTheme="minorHAnsi" w:hAnsiTheme="minorHAnsi" w:cstheme="minorHAnsi"/>
              </w:rPr>
              <w:t>Birkhölzer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, Karl: The </w:t>
            </w:r>
            <w:proofErr w:type="spellStart"/>
            <w:r w:rsidRPr="004D6468">
              <w:rPr>
                <w:rFonts w:asciiTheme="minorHAnsi" w:hAnsiTheme="minorHAnsi" w:cstheme="minorHAnsi"/>
              </w:rPr>
              <w:t>Role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of </w:t>
            </w:r>
            <w:proofErr w:type="spellStart"/>
            <w:r w:rsidRPr="004D6468">
              <w:rPr>
                <w:rFonts w:asciiTheme="minorHAnsi" w:hAnsiTheme="minorHAnsi" w:cstheme="minorHAnsi"/>
              </w:rPr>
              <w:t>Social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Enterprise in Local </w:t>
            </w:r>
            <w:proofErr w:type="spellStart"/>
            <w:r w:rsidRPr="004D6468">
              <w:rPr>
                <w:rFonts w:asciiTheme="minorHAnsi" w:hAnsiTheme="minorHAnsi" w:cstheme="minorHAnsi"/>
              </w:rPr>
              <w:t>Economic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6468">
              <w:rPr>
                <w:rFonts w:asciiTheme="minorHAnsi" w:hAnsiTheme="minorHAnsi" w:cstheme="minorHAnsi"/>
              </w:rPr>
              <w:t>Development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4D6468">
              <w:rPr>
                <w:rFonts w:asciiTheme="minorHAnsi" w:hAnsiTheme="minorHAnsi" w:cstheme="minorHAnsi"/>
              </w:rPr>
              <w:t>Paper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6468">
              <w:rPr>
                <w:rFonts w:asciiTheme="minorHAnsi" w:hAnsiTheme="minorHAnsi" w:cstheme="minorHAnsi"/>
              </w:rPr>
              <w:t>for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6468">
              <w:rPr>
                <w:rFonts w:asciiTheme="minorHAnsi" w:hAnsiTheme="minorHAnsi" w:cstheme="minorHAnsi"/>
              </w:rPr>
              <w:t>the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2nd EMES International </w:t>
            </w:r>
            <w:proofErr w:type="spellStart"/>
            <w:r w:rsidRPr="004D6468">
              <w:rPr>
                <w:rFonts w:asciiTheme="minorHAnsi" w:hAnsiTheme="minorHAnsi" w:cstheme="minorHAnsi"/>
              </w:rPr>
              <w:t>Conference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6468">
              <w:rPr>
                <w:rFonts w:asciiTheme="minorHAnsi" w:hAnsiTheme="minorHAnsi" w:cstheme="minorHAnsi"/>
              </w:rPr>
              <w:t>on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6468">
              <w:rPr>
                <w:rFonts w:asciiTheme="minorHAnsi" w:hAnsiTheme="minorHAnsi" w:cstheme="minorHAnsi"/>
              </w:rPr>
              <w:t>Social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Enterprise 1 </w:t>
            </w:r>
            <w:proofErr w:type="spellStart"/>
            <w:r w:rsidRPr="004D6468">
              <w:rPr>
                <w:rFonts w:asciiTheme="minorHAnsi" w:hAnsiTheme="minorHAnsi" w:cstheme="minorHAnsi"/>
              </w:rPr>
              <w:t>st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6468">
              <w:rPr>
                <w:rFonts w:asciiTheme="minorHAnsi" w:hAnsiTheme="minorHAnsi" w:cstheme="minorHAnsi"/>
              </w:rPr>
              <w:t>to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4th of </w:t>
            </w:r>
            <w:proofErr w:type="spellStart"/>
            <w:r w:rsidRPr="004D6468">
              <w:rPr>
                <w:rFonts w:asciiTheme="minorHAnsi" w:hAnsiTheme="minorHAnsi" w:cstheme="minorHAnsi"/>
              </w:rPr>
              <w:t>July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4D6468">
              <w:rPr>
                <w:rFonts w:asciiTheme="minorHAnsi" w:hAnsiTheme="minorHAnsi" w:cstheme="minorHAnsi"/>
              </w:rPr>
              <w:t>Trento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. </w:t>
            </w:r>
            <w:hyperlink r:id="rId9" w:history="1">
              <w:r w:rsidR="001B0FE0" w:rsidRPr="004A3F8B">
                <w:rPr>
                  <w:rStyle w:val="Hiperhivatkozs"/>
                  <w:rFonts w:asciiTheme="minorHAnsi" w:hAnsiTheme="minorHAnsi" w:cstheme="minorHAnsi"/>
                </w:rPr>
                <w:t>http://www.euricse.eu/sites/default/files/db_uploads/documents/1254754553_n170.pdf</w:t>
              </w:r>
            </w:hyperlink>
          </w:p>
          <w:p w:rsidR="002C2F58" w:rsidRPr="004D6468" w:rsidRDefault="002C2F58" w:rsidP="004D64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Dobák Judit: A diósgyőri kohászat barnamezős területének fejlesztési lehető</w:t>
            </w:r>
            <w:r w:rsidRPr="002C2F58">
              <w:rPr>
                <w:rFonts w:asciiTheme="minorHAnsi" w:hAnsiTheme="minorHAnsi" w:cstheme="minorHAnsi"/>
              </w:rPr>
              <w:t>ségei</w:t>
            </w:r>
            <w:r>
              <w:rPr>
                <w:rFonts w:asciiTheme="minorHAnsi" w:hAnsiTheme="minorHAnsi" w:cstheme="minorHAnsi"/>
              </w:rPr>
              <w:t xml:space="preserve">. </w:t>
            </w:r>
            <w:r w:rsidRPr="002C2F58">
              <w:rPr>
                <w:rFonts w:asciiTheme="minorHAnsi" w:hAnsiTheme="minorHAnsi" w:cstheme="minorHAnsi"/>
              </w:rPr>
              <w:t>Észak-magyarországi Stratégiai Füzetek X.</w:t>
            </w:r>
            <w:r>
              <w:rPr>
                <w:rFonts w:asciiTheme="minorHAnsi" w:hAnsiTheme="minorHAnsi" w:cstheme="minorHAnsi"/>
              </w:rPr>
              <w:t xml:space="preserve"> évf. 2013 1. pp.</w:t>
            </w:r>
            <w:r w:rsidRPr="002C2F58">
              <w:rPr>
                <w:rFonts w:asciiTheme="minorHAnsi" w:hAnsiTheme="minorHAnsi" w:cstheme="minorHAnsi"/>
              </w:rPr>
              <w:t xml:space="preserve">37 </w:t>
            </w:r>
            <w:r>
              <w:rPr>
                <w:rFonts w:asciiTheme="minorHAnsi" w:hAnsiTheme="minorHAnsi" w:cstheme="minorHAnsi"/>
              </w:rPr>
              <w:t>–</w:t>
            </w:r>
            <w:r w:rsidRPr="002C2F58">
              <w:rPr>
                <w:rFonts w:asciiTheme="minorHAnsi" w:hAnsiTheme="minorHAnsi" w:cstheme="minorHAnsi"/>
              </w:rPr>
              <w:t xml:space="preserve"> 48</w:t>
            </w:r>
            <w:r>
              <w:rPr>
                <w:rFonts w:asciiTheme="minorHAnsi" w:hAnsiTheme="minorHAnsi" w:cstheme="minorHAnsi"/>
              </w:rPr>
              <w:t xml:space="preserve">. </w:t>
            </w:r>
            <w:hyperlink r:id="rId10" w:history="1">
              <w:r>
                <w:rPr>
                  <w:rStyle w:val="Hiperhivatkozs"/>
                </w:rPr>
                <w:t>https://www.researchgate.net/publication/333295837_ISSN_1785-1594_vol_10_no_1_2013_037-048</w:t>
              </w:r>
            </w:hyperlink>
          </w:p>
          <w:p w:rsidR="00ED2EB3" w:rsidRPr="004D6468" w:rsidRDefault="00ED2EB3" w:rsidP="004D64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D6468">
              <w:rPr>
                <w:rFonts w:asciiTheme="minorHAnsi" w:hAnsiTheme="minorHAnsi" w:cstheme="minorHAnsi"/>
              </w:rPr>
              <w:t xml:space="preserve">Enyedi György 2001: Településformáló folyamatok. </w:t>
            </w:r>
            <w:proofErr w:type="spellStart"/>
            <w:r w:rsidRPr="004D6468">
              <w:rPr>
                <w:rFonts w:asciiTheme="minorHAnsi" w:hAnsiTheme="minorHAnsi" w:cstheme="minorHAnsi"/>
              </w:rPr>
              <w:t>Educatio</w:t>
            </w:r>
            <w:proofErr w:type="spellEnd"/>
            <w:r w:rsidRPr="004D6468">
              <w:rPr>
                <w:rFonts w:asciiTheme="minorHAnsi" w:hAnsiTheme="minorHAnsi" w:cstheme="minorHAnsi"/>
              </w:rPr>
              <w:t>, 10. 2001. 4. 663-669.</w:t>
            </w:r>
            <w:r w:rsidR="000803B3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0803B3">
                <w:rPr>
                  <w:rStyle w:val="Hiperhivatkozs"/>
                </w:rPr>
                <w:t>http://www.hier.iif.hu/hu/letoltes.php?fid=tartalomsor/1068</w:t>
              </w:r>
            </w:hyperlink>
          </w:p>
          <w:p w:rsidR="00ED2EB3" w:rsidRDefault="00ED2EB3" w:rsidP="00ED2EB3">
            <w:pPr>
              <w:spacing w:line="240" w:lineRule="auto"/>
            </w:pPr>
          </w:p>
          <w:p w:rsidR="00ED2EB3" w:rsidRDefault="00ED2EB3" w:rsidP="00ED2EB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Ajánlott irodalom:</w:t>
            </w:r>
          </w:p>
          <w:p w:rsidR="000803B3" w:rsidRDefault="000803B3" w:rsidP="00ED2EB3">
            <w:pPr>
              <w:spacing w:line="240" w:lineRule="auto"/>
            </w:pPr>
            <w:r>
              <w:t xml:space="preserve">dr. </w:t>
            </w:r>
            <w:proofErr w:type="spellStart"/>
            <w:r>
              <w:t>K</w:t>
            </w:r>
            <w:r w:rsidR="00D972F5">
              <w:t>ruppa</w:t>
            </w:r>
            <w:proofErr w:type="spellEnd"/>
            <w:r w:rsidR="00D972F5">
              <w:t xml:space="preserve"> Éva:</w:t>
            </w:r>
            <w:r>
              <w:t xml:space="preserve"> R</w:t>
            </w:r>
            <w:r w:rsidR="00D972F5">
              <w:t>égiók a határon. Határmenti együttműködés az Európai Unióban és Közép-Európában.</w:t>
            </w:r>
            <w:r>
              <w:t xml:space="preserve"> </w:t>
            </w:r>
            <w:proofErr w:type="spellStart"/>
            <w:r>
              <w:t>Ph</w:t>
            </w:r>
            <w:proofErr w:type="gramStart"/>
            <w:r>
              <w:t>.D</w:t>
            </w:r>
            <w:proofErr w:type="spellEnd"/>
            <w:r>
              <w:t>.</w:t>
            </w:r>
            <w:proofErr w:type="gramEnd"/>
            <w:r>
              <w:t xml:space="preserve"> értekezés</w:t>
            </w:r>
            <w:r>
              <w:t xml:space="preserve">. Budapest, 2003. </w:t>
            </w:r>
            <w:hyperlink r:id="rId12" w:history="1">
              <w:r>
                <w:rPr>
                  <w:rStyle w:val="Hiperhivatkozs"/>
                </w:rPr>
                <w:t>http://phd.lib.uni-corvinus.hu/121/1/kruppa_eva.pdf</w:t>
              </w:r>
            </w:hyperlink>
          </w:p>
          <w:p w:rsidR="00ED2EB3" w:rsidRDefault="00ED2EB3" w:rsidP="004D6468">
            <w:pPr>
              <w:spacing w:after="0" w:line="240" w:lineRule="auto"/>
            </w:pPr>
            <w:proofErr w:type="spellStart"/>
            <w:r w:rsidRPr="004D6468">
              <w:rPr>
                <w:rFonts w:asciiTheme="minorHAnsi" w:hAnsiTheme="minorHAnsi" w:cstheme="minorHAnsi"/>
              </w:rPr>
              <w:t>Beluszky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 Pál – Győri Róbert 2003: „</w:t>
            </w:r>
            <w:proofErr w:type="gramStart"/>
            <w:r w:rsidRPr="004D6468">
              <w:rPr>
                <w:rFonts w:asciiTheme="minorHAnsi" w:hAnsiTheme="minorHAnsi" w:cstheme="minorHAnsi"/>
              </w:rPr>
              <w:t>A</w:t>
            </w:r>
            <w:proofErr w:type="gramEnd"/>
            <w:r w:rsidRPr="004D6468">
              <w:rPr>
                <w:rFonts w:asciiTheme="minorHAnsi" w:hAnsiTheme="minorHAnsi" w:cstheme="minorHAnsi"/>
              </w:rPr>
              <w:t xml:space="preserve"> város láz, a nyugtalanság, a munka és a fejlődés”: Magyarország városhálózata a 20. század elején. Korall, 11-12. 2003. május, 199-238. </w:t>
            </w:r>
            <w:hyperlink r:id="rId13" w:history="1">
              <w:r w:rsidR="000803B3">
                <w:rPr>
                  <w:rStyle w:val="Hiperhivatkozs"/>
                </w:rPr>
                <w:t>https://epa.oszk.hu/00400/00414/00008/pdf/10beluszkygyory.pdf</w:t>
              </w:r>
            </w:hyperlink>
          </w:p>
          <w:p w:rsidR="00ED2EB3" w:rsidRDefault="00ED2EB3" w:rsidP="004D6468">
            <w:pPr>
              <w:spacing w:after="0" w:line="240" w:lineRule="auto"/>
            </w:pPr>
            <w:r w:rsidRPr="004D6468">
              <w:rPr>
                <w:rFonts w:asciiTheme="minorHAnsi" w:hAnsiTheme="minorHAnsi" w:cstheme="minorHAnsi"/>
              </w:rPr>
              <w:t xml:space="preserve">Csatári Bálint 2002: A kistérségek a magyar területfejlesztés rendszerében. In: Radnóti Éva </w:t>
            </w:r>
            <w:proofErr w:type="spellStart"/>
            <w:r w:rsidRPr="004D6468">
              <w:rPr>
                <w:rFonts w:asciiTheme="minorHAnsi" w:hAnsiTheme="minorHAnsi" w:cstheme="minorHAnsi"/>
              </w:rPr>
              <w:t>szerk</w:t>
            </w:r>
            <w:proofErr w:type="spellEnd"/>
            <w:r w:rsidRPr="004D6468">
              <w:rPr>
                <w:rFonts w:asciiTheme="minorHAnsi" w:hAnsiTheme="minorHAnsi" w:cstheme="minorHAnsi"/>
              </w:rPr>
              <w:t xml:space="preserve">. Regionális fejlődés Európában és Magyarországon. Budapest: Miniszterelnöki Hivatal Kormányzati Stratégiai Elemző Központ, 147-164. </w:t>
            </w:r>
            <w:hyperlink r:id="rId14" w:history="1">
              <w:r w:rsidR="000803B3">
                <w:rPr>
                  <w:rStyle w:val="Hiperhivatkozs"/>
                </w:rPr>
                <w:t>http://epa.niif.hu/02200/02251/00016/pdf/EPA02251_Ter_es_tarsadalom1883.pdf</w:t>
              </w:r>
            </w:hyperlink>
          </w:p>
          <w:p w:rsidR="00ED2EB3" w:rsidRPr="004D6468" w:rsidRDefault="00ED2EB3" w:rsidP="004D64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D6468">
              <w:rPr>
                <w:rFonts w:asciiTheme="minorHAnsi" w:hAnsiTheme="minorHAnsi" w:cstheme="minorHAnsi"/>
              </w:rPr>
              <w:t xml:space="preserve">Enyedi György 1980: Falvaink sorsa. Budapest: Magvető. Enyedi György 1996: Regionális folyamatok Magyarországon. Ember, település, régió. Budapest: MTA. </w:t>
            </w:r>
            <w:hyperlink r:id="rId15" w:history="1">
              <w:r w:rsidR="000803B3">
                <w:rPr>
                  <w:rStyle w:val="Hiperhivatkozs"/>
                </w:rPr>
                <w:t>https://tet.rkk.hu/index.php/TeT/article/download/792/1581/</w:t>
              </w:r>
            </w:hyperlink>
          </w:p>
          <w:p w:rsidR="00ED2EB3" w:rsidRPr="004D6468" w:rsidRDefault="00ED2EB3" w:rsidP="004D646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4D6468">
              <w:rPr>
                <w:rFonts w:asciiTheme="minorHAnsi" w:hAnsiTheme="minorHAnsi" w:cstheme="minorHAnsi"/>
              </w:rPr>
              <w:t xml:space="preserve">Hardi Tamás – Mezei István 2003: A szlovák közigazgatás és területfejlesztés aszimmetriái. Tér és Társadalom, 17. 2003. 4. 127-155. </w:t>
            </w:r>
            <w:hyperlink r:id="rId16" w:history="1">
              <w:r w:rsidR="00D972F5">
                <w:rPr>
                  <w:rStyle w:val="Hiperhivatkozs"/>
                </w:rPr>
                <w:t>https://tet.rkk.hu/index.php/TeT/article/view/920</w:t>
              </w:r>
            </w:hyperlink>
          </w:p>
          <w:p w:rsidR="00ED2EB3" w:rsidRDefault="00ED2EB3" w:rsidP="004D6468">
            <w:pPr>
              <w:spacing w:after="0" w:line="240" w:lineRule="auto"/>
            </w:pPr>
            <w:r w:rsidRPr="004D6468">
              <w:rPr>
                <w:rFonts w:asciiTheme="minorHAnsi" w:hAnsiTheme="minorHAnsi" w:cstheme="minorHAnsi"/>
              </w:rPr>
              <w:t xml:space="preserve">Illés Iván 2002: Közép- és Délkelet-Európa az ezredfordulón. Átalakulás, integráció, régiók. Budapest-Pécs: Dialóg Campus Kiadó. </w:t>
            </w:r>
            <w:hyperlink r:id="rId17" w:history="1">
              <w:r w:rsidR="00D972F5">
                <w:rPr>
                  <w:rStyle w:val="Hiperhivatkozs"/>
                </w:rPr>
                <w:t>https://tet.rkk.hu/index.php/TeT/article/view/841</w:t>
              </w:r>
            </w:hyperlink>
          </w:p>
          <w:p w:rsidR="002C2F58" w:rsidRDefault="002C2F58" w:rsidP="004D6468">
            <w:pPr>
              <w:spacing w:after="0" w:line="240" w:lineRule="auto"/>
            </w:pPr>
            <w:r>
              <w:t>Tímár Judit-N</w:t>
            </w:r>
            <w:r w:rsidR="00D972F5">
              <w:t xml:space="preserve">agy Erika: </w:t>
            </w:r>
            <w:r w:rsidR="00D972F5" w:rsidRPr="00D972F5">
              <w:t>Állam és tértermelés: „új” értelmezési keretek a tértudományokban</w:t>
            </w:r>
            <w:r w:rsidR="00D972F5">
              <w:t xml:space="preserve">. </w:t>
            </w:r>
            <w:r w:rsidR="00D972F5" w:rsidRPr="00D972F5">
              <w:t>Tér és Társadalom</w:t>
            </w:r>
            <w:r>
              <w:t xml:space="preserve"> </w:t>
            </w:r>
            <w:r w:rsidR="00D972F5" w:rsidRPr="00D972F5">
              <w:t>33. évf., 4. szám, 2019</w:t>
            </w:r>
            <w:r>
              <w:t xml:space="preserve">. </w:t>
            </w:r>
            <w:hyperlink r:id="rId18" w:history="1">
              <w:r w:rsidRPr="004A3F8B">
                <w:rPr>
                  <w:rStyle w:val="Hiperhivatkozs"/>
                </w:rPr>
                <w:t>https://doi.org/10.17649/TET.33.4.3214</w:t>
              </w:r>
            </w:hyperlink>
          </w:p>
          <w:p w:rsidR="004D6468" w:rsidRDefault="004D6468" w:rsidP="004D6468">
            <w:pPr>
              <w:spacing w:after="0" w:line="240" w:lineRule="auto"/>
            </w:pPr>
            <w:proofErr w:type="spellStart"/>
            <w:r>
              <w:t>Recent</w:t>
            </w:r>
            <w:proofErr w:type="spellEnd"/>
            <w:r>
              <w:t xml:space="preserve"> policy </w:t>
            </w:r>
            <w:proofErr w:type="spellStart"/>
            <w:r>
              <w:t>developments</w:t>
            </w:r>
            <w:proofErr w:type="spellEnd"/>
            <w:r>
              <w:t xml:space="preserve">- Hungary. </w:t>
            </w:r>
            <w:hyperlink r:id="rId19" w:history="1">
              <w:r w:rsidR="002C2F58" w:rsidRPr="004A3F8B">
                <w:rPr>
                  <w:rStyle w:val="Hiperhivatkozs"/>
                </w:rPr>
                <w:t>http://www.oecd.org/cfe/regional-policy/Hungary.pdf</w:t>
              </w:r>
            </w:hyperlink>
          </w:p>
          <w:p w:rsidR="002C2F58" w:rsidRPr="004D6468" w:rsidRDefault="002C2F58" w:rsidP="004D6468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:rsidR="0010535D" w:rsidRDefault="0010535D" w:rsidP="00A679A3">
            <w:pPr>
              <w:spacing w:after="0" w:line="240" w:lineRule="auto"/>
            </w:pPr>
          </w:p>
        </w:tc>
      </w:tr>
    </w:tbl>
    <w:p w:rsidR="00D230F3" w:rsidRDefault="00D230F3"/>
    <w:p w:rsidR="00F13F11" w:rsidRDefault="00F13F11" w:rsidP="00D230F3"/>
    <w:sectPr w:rsidR="00F13F11" w:rsidSect="00105494">
      <w:headerReference w:type="default" r:id="rId20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03" w:rsidRDefault="00861A03">
      <w:pPr>
        <w:spacing w:after="0" w:line="240" w:lineRule="auto"/>
      </w:pPr>
      <w:r>
        <w:separator/>
      </w:r>
    </w:p>
  </w:endnote>
  <w:endnote w:type="continuationSeparator" w:id="0">
    <w:p w:rsidR="00861A03" w:rsidRDefault="0086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03" w:rsidRDefault="00861A0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61A03" w:rsidRDefault="00861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ED" w:rsidRDefault="0077591B">
    <w:pPr>
      <w:pStyle w:val="lfej"/>
      <w:pBdr>
        <w:bottom w:val="double" w:sz="12" w:space="1" w:color="000000"/>
      </w:pBdr>
      <w:jc w:val="center"/>
      <w:rPr>
        <w:rFonts w:cs="Calibri"/>
        <w:smallCaps/>
        <w:szCs w:val="24"/>
      </w:rPr>
    </w:pPr>
    <w:r>
      <w:rPr>
        <w:rFonts w:cs="Calibri"/>
        <w:smallCaps/>
        <w:szCs w:val="24"/>
      </w:rPr>
      <w:t xml:space="preserve">Miskolci Egyetem </w:t>
    </w:r>
    <w:r w:rsidR="00AA107D">
      <w:rPr>
        <w:rFonts w:cs="Calibri"/>
        <w:smallCaps/>
        <w:szCs w:val="24"/>
      </w:rPr>
      <w:t>bölcsészettudományi k</w:t>
    </w:r>
    <w:r>
      <w:rPr>
        <w:rFonts w:cs="Calibri"/>
        <w:smallCaps/>
        <w:szCs w:val="24"/>
      </w:rPr>
      <w:t>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57F6"/>
    <w:multiLevelType w:val="multilevel"/>
    <w:tmpl w:val="9D567526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C077E75"/>
    <w:multiLevelType w:val="hybridMultilevel"/>
    <w:tmpl w:val="397010F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A464D"/>
    <w:multiLevelType w:val="hybridMultilevel"/>
    <w:tmpl w:val="87345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5D"/>
    <w:rsid w:val="000803B3"/>
    <w:rsid w:val="000B7CB1"/>
    <w:rsid w:val="000C1AD4"/>
    <w:rsid w:val="000D3150"/>
    <w:rsid w:val="0010535D"/>
    <w:rsid w:val="00105494"/>
    <w:rsid w:val="001B0FE0"/>
    <w:rsid w:val="001E35DD"/>
    <w:rsid w:val="002C2F58"/>
    <w:rsid w:val="003F0A5F"/>
    <w:rsid w:val="00424F9F"/>
    <w:rsid w:val="00476B3A"/>
    <w:rsid w:val="004D5FFB"/>
    <w:rsid w:val="004D6468"/>
    <w:rsid w:val="00503CD4"/>
    <w:rsid w:val="00541FBF"/>
    <w:rsid w:val="006D1368"/>
    <w:rsid w:val="006E1A05"/>
    <w:rsid w:val="007063ED"/>
    <w:rsid w:val="00737602"/>
    <w:rsid w:val="0077591B"/>
    <w:rsid w:val="007D32F7"/>
    <w:rsid w:val="007D7821"/>
    <w:rsid w:val="00861A03"/>
    <w:rsid w:val="00882263"/>
    <w:rsid w:val="00885C6E"/>
    <w:rsid w:val="008E6446"/>
    <w:rsid w:val="009A7434"/>
    <w:rsid w:val="00A679A3"/>
    <w:rsid w:val="00AA107D"/>
    <w:rsid w:val="00AA1BDC"/>
    <w:rsid w:val="00B338F7"/>
    <w:rsid w:val="00B37181"/>
    <w:rsid w:val="00C44DCC"/>
    <w:rsid w:val="00D22798"/>
    <w:rsid w:val="00D230F3"/>
    <w:rsid w:val="00D91E8E"/>
    <w:rsid w:val="00D972F5"/>
    <w:rsid w:val="00DC2C5B"/>
    <w:rsid w:val="00DC37BD"/>
    <w:rsid w:val="00ED2EB3"/>
    <w:rsid w:val="00EE1B41"/>
    <w:rsid w:val="00F13F11"/>
    <w:rsid w:val="00F430B5"/>
    <w:rsid w:val="00F7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772A"/>
  <w15:docId w15:val="{763480AA-F2D8-4863-B441-0F0D6B6E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105494"/>
    <w:pPr>
      <w:suppressAutoHyphens/>
      <w:spacing w:after="120"/>
      <w:jc w:val="both"/>
    </w:pPr>
    <w:rPr>
      <w:rFonts w:ascii="Times New Roman" w:hAnsi="Times New Roman"/>
    </w:rPr>
  </w:style>
  <w:style w:type="paragraph" w:styleId="Cmsor2">
    <w:name w:val="heading 2"/>
    <w:basedOn w:val="Norml"/>
    <w:next w:val="Norml"/>
    <w:autoRedefine/>
    <w:rsid w:val="00105494"/>
    <w:pPr>
      <w:keepNext/>
      <w:numPr>
        <w:ilvl w:val="1"/>
        <w:numId w:val="1"/>
      </w:numPr>
      <w:spacing w:before="360" w:after="240"/>
      <w:outlineLvl w:val="1"/>
    </w:pPr>
    <w:rPr>
      <w:rFonts w:eastAsia="Times New Roman"/>
      <w:b/>
      <w:bCs/>
      <w:iCs/>
      <w:sz w:val="24"/>
      <w:szCs w:val="28"/>
    </w:rPr>
  </w:style>
  <w:style w:type="paragraph" w:styleId="Cmsor3">
    <w:name w:val="heading 3"/>
    <w:basedOn w:val="Norml"/>
    <w:next w:val="Norml"/>
    <w:autoRedefine/>
    <w:rsid w:val="00105494"/>
    <w:pPr>
      <w:keepNext/>
      <w:keepLines/>
      <w:spacing w:before="240"/>
      <w:ind w:left="720" w:hanging="720"/>
      <w:outlineLvl w:val="2"/>
    </w:pPr>
    <w:rPr>
      <w:rFonts w:eastAsia="Times New Roman"/>
      <w:b/>
      <w:bCs/>
      <w:color w:val="1D3C57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13F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WWOutlineListStyle">
    <w:name w:val="WW_OutlineListStyle"/>
    <w:basedOn w:val="Nemlista"/>
    <w:rsid w:val="00105494"/>
    <w:pPr>
      <w:numPr>
        <w:numId w:val="1"/>
      </w:numPr>
    </w:pPr>
  </w:style>
  <w:style w:type="character" w:customStyle="1" w:styleId="Cmsor2Char">
    <w:name w:val="Címsor 2 Char"/>
    <w:basedOn w:val="Bekezdsalapbettpusa"/>
    <w:rsid w:val="00105494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Cmsor3Char">
    <w:name w:val="Címsor 3 Char"/>
    <w:basedOn w:val="Bekezdsalapbettpusa"/>
    <w:rsid w:val="00105494"/>
    <w:rPr>
      <w:rFonts w:ascii="Times New Roman" w:eastAsia="Times New Roman" w:hAnsi="Times New Roman" w:cs="Times New Roman"/>
      <w:b/>
      <w:bCs/>
      <w:color w:val="1D3C57"/>
    </w:rPr>
  </w:style>
  <w:style w:type="paragraph" w:styleId="lfej">
    <w:name w:val="header"/>
    <w:basedOn w:val="Norml"/>
    <w:rsid w:val="0010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rsid w:val="00105494"/>
    <w:rPr>
      <w:rFonts w:ascii="Times New Roman" w:hAnsi="Times New Roman"/>
    </w:rPr>
  </w:style>
  <w:style w:type="paragraph" w:styleId="llb">
    <w:name w:val="footer"/>
    <w:basedOn w:val="Norml"/>
    <w:rsid w:val="00105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rsid w:val="00105494"/>
    <w:rPr>
      <w:rFonts w:ascii="Times New Roman" w:hAnsi="Times New Roman"/>
    </w:rPr>
  </w:style>
  <w:style w:type="paragraph" w:styleId="Lbjegyzetszveg">
    <w:name w:val="footnote text"/>
    <w:basedOn w:val="Norml"/>
    <w:link w:val="LbjegyzetszvegChar"/>
    <w:semiHidden/>
    <w:unhideWhenUsed/>
    <w:rsid w:val="00D230F3"/>
    <w:pPr>
      <w:suppressAutoHyphens w:val="0"/>
      <w:autoSpaceDN/>
      <w:spacing w:after="0" w:line="240" w:lineRule="auto"/>
      <w:jc w:val="left"/>
      <w:textAlignment w:val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D230F3"/>
    <w:rPr>
      <w:rFonts w:ascii="Times New Roman" w:eastAsia="Times New Roman" w:hAnsi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D230F3"/>
    <w:rPr>
      <w:vertAlign w:val="superscript"/>
    </w:rPr>
  </w:style>
  <w:style w:type="table" w:styleId="Rcsostblzat">
    <w:name w:val="Table Grid"/>
    <w:basedOn w:val="Normltblzat"/>
    <w:uiPriority w:val="59"/>
    <w:rsid w:val="00D2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9"/>
    <w:semiHidden/>
    <w:rsid w:val="00F13F1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aszerbekezds">
    <w:name w:val="List Paragraph"/>
    <w:basedOn w:val="Norml"/>
    <w:uiPriority w:val="34"/>
    <w:qFormat/>
    <w:rsid w:val="009A7434"/>
    <w:pPr>
      <w:suppressAutoHyphens w:val="0"/>
      <w:autoSpaceDN/>
      <w:spacing w:after="200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styleId="Hiperhivatkozs">
    <w:name w:val="Hyperlink"/>
    <w:basedOn w:val="Bekezdsalapbettpusa"/>
    <w:uiPriority w:val="99"/>
    <w:unhideWhenUsed/>
    <w:rsid w:val="00ED2E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science.hu:8080/xmlui/handle/11155/1736" TargetMode="External"/><Relationship Id="rId13" Type="http://schemas.openxmlformats.org/officeDocument/2006/relationships/hyperlink" Target="https://epa.oszk.hu/00400/00414/00008/pdf/10beluszkygyory.pdf" TargetMode="External"/><Relationship Id="rId18" Type="http://schemas.openxmlformats.org/officeDocument/2006/relationships/hyperlink" Target="https://doi.org/10.17649/TET.33.4.321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regscience.hu:8080/xmlui/handle/11155/1736" TargetMode="External"/><Relationship Id="rId12" Type="http://schemas.openxmlformats.org/officeDocument/2006/relationships/hyperlink" Target="http://phd.lib.uni-corvinus.hu/121/1/kruppa_eva.pdf" TargetMode="External"/><Relationship Id="rId17" Type="http://schemas.openxmlformats.org/officeDocument/2006/relationships/hyperlink" Target="https://tet.rkk.hu/index.php/TeT/article/view/8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t.rkk.hu/index.php/TeT/article/view/92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er.iif.hu/hu/letoltes.php?fid=tartalomsor/106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t.rkk.hu/index.php/TeT/article/download/792/1581/" TargetMode="External"/><Relationship Id="rId10" Type="http://schemas.openxmlformats.org/officeDocument/2006/relationships/hyperlink" Target="https://www.researchgate.net/publication/333295837_ISSN_1785-1594_vol_10_no_1_2013_037-048" TargetMode="External"/><Relationship Id="rId19" Type="http://schemas.openxmlformats.org/officeDocument/2006/relationships/hyperlink" Target="http://www.oecd.org/cfe/regional-policy/Hungar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icse.eu/sites/default/files/db_uploads/documents/1254754553_n170.pdf" TargetMode="External"/><Relationship Id="rId14" Type="http://schemas.openxmlformats.org/officeDocument/2006/relationships/hyperlink" Target="http://epa.niif.hu/02200/02251/00016/pdf/EPA02251_Ter_es_tarsadalom188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</dc:creator>
  <cp:lastModifiedBy>Windows-felhasználó</cp:lastModifiedBy>
  <cp:revision>2</cp:revision>
  <dcterms:created xsi:type="dcterms:W3CDTF">2020-03-18T22:36:00Z</dcterms:created>
  <dcterms:modified xsi:type="dcterms:W3CDTF">2020-03-18T22:36:00Z</dcterms:modified>
</cp:coreProperties>
</file>